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240" w:line="257" w:lineRule="auto"/>
        <w:jc w:val="center"/>
        <w:rPr>
          <w:rFonts w:ascii="Tenorite" w:cs="Tenorite" w:eastAsia="Tenorite" w:hAnsi="Tenorite"/>
          <w:b w:val="1"/>
          <w:bCs w:val="1"/>
          <w:sz w:val="28"/>
          <w:szCs w:val="28"/>
        </w:rPr>
      </w:pPr>
      <w:r w:rsidDel="00000000" w:rsidR="00000000" w:rsidRPr="00000000">
        <w:rPr>
          <w:rFonts w:ascii="Tenorite" w:cs="Tenorite" w:eastAsia="Tenorite" w:hAnsi="Tenorite"/>
        </w:rPr>
        <w:drawing>
          <wp:anchor allowOverlap="1" behindDoc="0" distB="0" distT="0" distL="114300" distR="114300" hidden="0" layoutInCell="1" locked="0" relativeHeight="0" simplePos="0">
            <wp:simplePos x="0" y="0"/>
            <wp:positionH relativeFrom="margin">
              <wp:posOffset>777240</wp:posOffset>
            </wp:positionH>
            <wp:positionV relativeFrom="margin">
              <wp:posOffset>-577900</wp:posOffset>
            </wp:positionV>
            <wp:extent cx="4176395" cy="114935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4176395" cy="1149350"/>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spacing w:after="0" w:before="240" w:line="257" w:lineRule="auto"/>
        <w:jc w:val="center"/>
        <w:rPr>
          <w:rFonts w:ascii="Tenorite" w:cs="Tenorite" w:eastAsia="Tenorite" w:hAnsi="Tenorite"/>
          <w:b w:val="1"/>
          <w:bCs w:val="1"/>
          <w:sz w:val="28"/>
          <w:szCs w:val="28"/>
        </w:rPr>
      </w:pPr>
      <w:r w:rsidDel="00000000" w:rsidR="00000000" w:rsidRPr="00000000">
        <w:rPr>
          <w:rtl w:val="0"/>
        </w:rPr>
      </w:r>
    </w:p>
    <w:p w:rsidR="00000000" w:rsidDel="00000000" w:rsidP="00000000" w:rsidRDefault="00000000" w:rsidRPr="00000000" w14:paraId="00000003">
      <w:pPr>
        <w:spacing w:after="0" w:before="240" w:line="257" w:lineRule="auto"/>
        <w:jc w:val="center"/>
        <w:rPr>
          <w:rFonts w:ascii="Tenorite" w:cs="Tenorite" w:eastAsia="Tenorite" w:hAnsi="Tenorite"/>
          <w:b w:val="1"/>
          <w:bCs w:val="1"/>
          <w:sz w:val="28"/>
          <w:szCs w:val="28"/>
        </w:rPr>
      </w:pPr>
      <w:r w:rsidDel="00000000" w:rsidR="00000000" w:rsidRPr="00000000">
        <w:rPr>
          <w:rFonts w:ascii="Tenorite" w:cs="Tenorite" w:eastAsia="Tenorite" w:hAnsi="Tenorite"/>
          <w:b w:val="1"/>
          <w:bCs w:val="1"/>
          <w:sz w:val="28"/>
          <w:szCs w:val="28"/>
          <w:rtl w:val="0"/>
        </w:rPr>
        <w:t xml:space="preserve">Session Outcome Document </w:t>
      </w:r>
    </w:p>
    <w:p w:rsidR="00000000" w:rsidDel="00000000" w:rsidP="00000000" w:rsidRDefault="00000000" w:rsidRPr="00000000" w14:paraId="00000004">
      <w:pPr>
        <w:spacing w:after="0" w:line="257" w:lineRule="auto"/>
        <w:jc w:val="center"/>
        <w:rPr>
          <w:rFonts w:ascii="Tenorite" w:cs="Tenorite" w:eastAsia="Tenorite" w:hAnsi="Tenorite"/>
        </w:rPr>
      </w:pPr>
      <w:r w:rsidDel="00000000" w:rsidR="00000000" w:rsidRPr="00000000">
        <w:rPr>
          <w:rFonts w:ascii="Tenorite" w:cs="Tenorite" w:eastAsia="Tenorite" w:hAnsi="Tenorite"/>
          <w:rtl w:val="0"/>
        </w:rPr>
        <w:t xml:space="preserve">(</w:t>
      </w:r>
      <w:r w:rsidDel="00000000" w:rsidR="00000000" w:rsidRPr="00000000">
        <w:rPr>
          <w:rFonts w:ascii="Tenorite" w:cs="Tenorite" w:eastAsia="Tenorite" w:hAnsi="Tenorite"/>
          <w:i w:val="1"/>
          <w:iCs w:val="1"/>
          <w:rtl w:val="0"/>
        </w:rPr>
        <w:t xml:space="preserve">2 pages max</w:t>
      </w:r>
      <w:r w:rsidDel="00000000" w:rsidR="00000000" w:rsidRPr="00000000">
        <w:rPr>
          <w:rFonts w:ascii="Tenorite" w:cs="Tenorite" w:eastAsia="Tenorite" w:hAnsi="Tenorite"/>
          <w:rtl w:val="0"/>
        </w:rPr>
        <w:t xml:space="preserve">)</w:t>
      </w:r>
    </w:p>
    <w:p w:rsidR="00000000" w:rsidDel="00000000" w:rsidP="00000000" w:rsidRDefault="00000000" w:rsidRPr="00000000" w14:paraId="00000005">
      <w:pPr>
        <w:spacing w:after="0" w:before="240" w:line="257" w:lineRule="auto"/>
        <w:jc w:val="center"/>
        <w:rPr>
          <w:rFonts w:ascii="Tenorite" w:cs="Tenorite" w:eastAsia="Tenorite" w:hAnsi="Tenorite"/>
          <w:b w:val="1"/>
          <w:bCs w:val="1"/>
          <w:sz w:val="24"/>
          <w:szCs w:val="24"/>
        </w:rPr>
      </w:pPr>
      <w:r w:rsidDel="00000000" w:rsidR="00000000" w:rsidRPr="00000000">
        <w:rPr>
          <w:rFonts w:ascii="Tenorite" w:cs="Tenorite" w:eastAsia="Tenorite" w:hAnsi="Tenorite"/>
          <w:b w:val="1"/>
          <w:bCs w:val="1"/>
          <w:sz w:val="24"/>
          <w:szCs w:val="24"/>
          <w:rtl w:val="0"/>
        </w:rPr>
        <w:t xml:space="preserve">Session 271. Measuring what matters: Embedding gender equality in AI governance through gender-specific indicators</w:t>
      </w:r>
    </w:p>
    <w:p w:rsidR="00000000" w:rsidDel="00000000" w:rsidP="00000000" w:rsidRDefault="00000000" w:rsidRPr="00000000" w14:paraId="00000006">
      <w:pPr>
        <w:spacing w:after="0" w:before="240" w:line="257" w:lineRule="auto"/>
        <w:jc w:val="center"/>
        <w:rPr>
          <w:rFonts w:ascii="Tenorite" w:cs="Tenorite" w:eastAsia="Tenorite" w:hAnsi="Tenorite"/>
          <w:sz w:val="24"/>
          <w:szCs w:val="24"/>
        </w:rPr>
      </w:pPr>
      <w:r w:rsidDel="00000000" w:rsidR="00000000" w:rsidRPr="00000000">
        <w:rPr>
          <w:rFonts w:ascii="Tenorite" w:cs="Tenorite" w:eastAsia="Tenorite" w:hAnsi="Tenorite"/>
          <w:b w:val="1"/>
          <w:bCs w:val="1"/>
          <w:sz w:val="24"/>
          <w:szCs w:val="24"/>
          <w:rtl w:val="0"/>
        </w:rPr>
        <w:t xml:space="preserve">Organised by the Gender in Digital Coalition</w:t>
      </w:r>
      <w:r w:rsidDel="00000000" w:rsidR="00000000" w:rsidRPr="00000000">
        <w:rPr>
          <w:rtl w:val="0"/>
        </w:rPr>
      </w:r>
    </w:p>
    <w:p w:rsidR="00000000" w:rsidDel="00000000" w:rsidP="00000000" w:rsidRDefault="00000000" w:rsidRPr="00000000" w14:paraId="00000007">
      <w:pPr>
        <w:spacing w:after="240" w:before="240" w:line="374.4" w:lineRule="auto"/>
        <w:jc w:val="center"/>
        <w:rPr>
          <w:rFonts w:ascii="Tenorite" w:cs="Tenorite" w:eastAsia="Tenorite" w:hAnsi="Tenorite"/>
          <w:sz w:val="24"/>
          <w:szCs w:val="24"/>
        </w:rPr>
      </w:pPr>
      <w:r w:rsidDel="00000000" w:rsidR="00000000" w:rsidRPr="00000000">
        <w:rPr>
          <w:rFonts w:ascii="Arial" w:cs="Arial" w:eastAsia="Arial" w:hAnsi="Arial"/>
          <w:sz w:val="22"/>
          <w:szCs w:val="22"/>
          <w:rtl w:val="0"/>
        </w:rPr>
        <w:t xml:space="preserve">Monday July 6th 2026, 14:00–14:45 (UTC+02:00)</w:t>
      </w:r>
      <w:r w:rsidDel="00000000" w:rsidR="00000000" w:rsidRPr="00000000">
        <w:rPr>
          <w:rtl w:val="0"/>
        </w:rPr>
      </w:r>
    </w:p>
    <w:p w:rsidR="00000000" w:rsidDel="00000000" w:rsidP="00000000" w:rsidRDefault="00000000" w:rsidRPr="00000000" w14:paraId="00000008">
      <w:pPr>
        <w:spacing w:after="0" w:before="240" w:line="257" w:lineRule="auto"/>
        <w:jc w:val="center"/>
        <w:rPr>
          <w:rFonts w:ascii="Tenorite" w:cs="Tenorite" w:eastAsia="Tenorite" w:hAnsi="Tenorite"/>
          <w:sz w:val="22"/>
          <w:szCs w:val="22"/>
        </w:rPr>
      </w:pPr>
      <w:hyperlink r:id="rId7">
        <w:r w:rsidDel="00000000" w:rsidR="00000000" w:rsidRPr="00000000">
          <w:rPr>
            <w:rFonts w:ascii="Tenorite" w:cs="Tenorite" w:eastAsia="Tenorite" w:hAnsi="Tenorite"/>
            <w:b w:val="1"/>
            <w:bCs w:val="1"/>
            <w:color w:val="1155cc"/>
            <w:sz w:val="24"/>
            <w:szCs w:val="24"/>
            <w:u w:val="single"/>
            <w:rtl w:val="0"/>
          </w:rPr>
          <w:t xml:space="preserve">https://www.itu.int/net4/wsis/forum/2026/Agenda/Session/271</w:t>
        </w:r>
      </w:hyperlink>
      <w:r w:rsidDel="00000000" w:rsidR="00000000" w:rsidRPr="00000000">
        <w:rPr>
          <w:rFonts w:ascii="Tenorite" w:cs="Tenorite" w:eastAsia="Tenorite" w:hAnsi="Tenorite"/>
          <w:b w:val="1"/>
          <w:bCs w:val="1"/>
          <w:sz w:val="24"/>
          <w:szCs w:val="24"/>
          <w:rtl w:val="0"/>
        </w:rPr>
        <w:t xml:space="preserve"> </w:t>
      </w:r>
      <w:r w:rsidDel="00000000" w:rsidR="00000000" w:rsidRPr="00000000">
        <w:rPr>
          <w:rtl w:val="0"/>
        </w:rPr>
      </w:r>
    </w:p>
    <w:p w:rsidR="00000000" w:rsidDel="00000000" w:rsidP="00000000" w:rsidRDefault="00000000" w:rsidRPr="00000000" w14:paraId="00000009">
      <w:pPr>
        <w:spacing w:after="0" w:lineRule="auto"/>
        <w:rPr>
          <w:rFonts w:ascii="Tenorite" w:cs="Tenorite" w:eastAsia="Tenorite" w:hAnsi="Tenorite"/>
          <w:b w:val="1"/>
          <w:bCs w:val="1"/>
          <w:sz w:val="22"/>
          <w:szCs w:val="22"/>
        </w:rPr>
      </w:pPr>
      <w:r w:rsidDel="00000000" w:rsidR="00000000" w:rsidRPr="00000000">
        <w:rPr>
          <w:rtl w:val="0"/>
        </w:rPr>
      </w:r>
    </w:p>
    <w:p w:rsidR="00000000" w:rsidDel="00000000" w:rsidP="00000000" w:rsidRDefault="00000000" w:rsidRPr="00000000" w14:paraId="0000000A">
      <w:pPr>
        <w:spacing w:after="0" w:lineRule="auto"/>
        <w:rPr>
          <w:rFonts w:ascii="Tenorite" w:cs="Tenorite" w:eastAsia="Tenorite" w:hAnsi="Tenorite"/>
          <w:b w:val="1"/>
          <w:bCs w:val="1"/>
          <w:sz w:val="22"/>
          <w:szCs w:val="22"/>
        </w:rPr>
      </w:pPr>
      <w:r w:rsidDel="00000000" w:rsidR="00000000" w:rsidRPr="00000000">
        <w:rPr>
          <w:rFonts w:ascii="Tenorite" w:cs="Tenorite" w:eastAsia="Tenorite" w:hAnsi="Tenorite"/>
          <w:b w:val="1"/>
          <w:bCs w:val="1"/>
          <w:sz w:val="22"/>
          <w:szCs w:val="22"/>
          <w:rtl w:val="0"/>
        </w:rPr>
        <w:t xml:space="preserve">Key Issues discussed:</w:t>
      </w:r>
    </w:p>
    <w:p w:rsidR="00000000" w:rsidDel="00000000" w:rsidP="00000000" w:rsidRDefault="00000000" w:rsidRPr="00000000" w14:paraId="0000000B">
      <w:pPr>
        <w:numPr>
          <w:ilvl w:val="0"/>
          <w:numId w:val="2"/>
        </w:numPr>
        <w:spacing w:after="0" w:afterAutospacing="0"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Resolution A/RES/80/173 mandates gender equality to be mainstreamed across all WSIS Action Lines and the inclusion of "potential targets, indicators and metrics to facilitate monitoring and measurement." Although the resolution shows progress, gender is currently absent from the measurement architecture. There are no gender indicators embedded in the Action Line implementation frameworks beyond basic access measures, and the UNGIS Draft Joint Implementation Road Map for WSIS–GDC coherence, presented to CSTD 29 in April, contains the word gender zero times.</w:t>
      </w:r>
    </w:p>
    <w:p w:rsidR="00000000" w:rsidDel="00000000" w:rsidP="00000000" w:rsidRDefault="00000000" w:rsidRPr="00000000" w14:paraId="0000000C">
      <w:pPr>
        <w:numPr>
          <w:ilvl w:val="0"/>
          <w:numId w:val="2"/>
        </w:numPr>
        <w:spacing w:after="0" w:afterAutospacing="0" w:before="0" w:beforeAutospacing="0"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Governance is the meta-indicator we need to track to effectively assess progress in addressing gender barriers in the AI paradigm. The question is not just whether women have access to the consumption market for AI services, but whether they are able to meaningfully realise the value potential of AI innovation. Who is value accruing to? And are the trajectories of AI innovation making the lives of women better? And which women?</w:t>
      </w:r>
    </w:p>
    <w:p w:rsidR="00000000" w:rsidDel="00000000" w:rsidP="00000000" w:rsidRDefault="00000000" w:rsidRPr="00000000" w14:paraId="0000000D">
      <w:pPr>
        <w:numPr>
          <w:ilvl w:val="0"/>
          <w:numId w:val="2"/>
        </w:numPr>
        <w:spacing w:after="0" w:afterAutospacing="0" w:before="0" w:beforeAutospacing="0"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Gender-responsive indicators must capture participation, agency, leadership, safety, and decision-making, including women’s representation in governance bodies, gender-responsive AI design, meaningful connectivity, and investment in inclusive AI systems.</w:t>
      </w:r>
    </w:p>
    <w:p w:rsidR="00000000" w:rsidDel="00000000" w:rsidP="00000000" w:rsidRDefault="00000000" w:rsidRPr="00000000" w14:paraId="0000000E">
      <w:pPr>
        <w:numPr>
          <w:ilvl w:val="0"/>
          <w:numId w:val="2"/>
        </w:numPr>
        <w:spacing w:after="0" w:afterAutospacing="0" w:before="0" w:beforeAutospacing="0"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data already exists. Many proposed indicators can build on existing data sources, including those collected by UN agencies, governments, and civil society organisations. The challenge is ensuring this data informs accountability frameworks. We don't need to reinvent the wheel - just coordinate better.</w:t>
      </w:r>
    </w:p>
    <w:p w:rsidR="00000000" w:rsidDel="00000000" w:rsidP="00000000" w:rsidRDefault="00000000" w:rsidRPr="00000000" w14:paraId="0000000F">
      <w:pPr>
        <w:numPr>
          <w:ilvl w:val="0"/>
          <w:numId w:val="2"/>
        </w:numPr>
        <w:spacing w:after="0" w:before="0" w:beforeAutospacing="0"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Indicators determine what gets measured, what gets funded, and what governments are held accountable for. The roadmaps being developed now will shape digital governance priorities for the next decade.</w:t>
      </w:r>
    </w:p>
    <w:p w:rsidR="00000000" w:rsidDel="00000000" w:rsidP="00000000" w:rsidRDefault="00000000" w:rsidRPr="00000000" w14:paraId="00000010">
      <w:pPr>
        <w:spacing w:after="0" w:before="240" w:line="240" w:lineRule="auto"/>
        <w:ind w:left="0" w:firstLine="0"/>
        <w:rPr>
          <w:rFonts w:ascii="Tenorite" w:cs="Tenorite" w:eastAsia="Tenorite" w:hAnsi="Tenorite"/>
          <w:sz w:val="22"/>
          <w:szCs w:val="22"/>
        </w:rPr>
      </w:pPr>
      <w:r w:rsidDel="00000000" w:rsidR="00000000" w:rsidRPr="00000000">
        <w:rPr>
          <w:rFonts w:ascii="Tenorite" w:cs="Tenorite" w:eastAsia="Tenorite" w:hAnsi="Tenorite"/>
          <w:b w:val="1"/>
          <w:bCs w:val="1"/>
          <w:color w:val="000000"/>
          <w:sz w:val="22"/>
          <w:szCs w:val="22"/>
          <w:rtl w:val="0"/>
        </w:rPr>
        <w:t xml:space="preserve">Key Outcomes of the session</w:t>
      </w:r>
      <w:r w:rsidDel="00000000" w:rsidR="00000000" w:rsidRPr="00000000">
        <w:rPr>
          <w:rtl w:val="0"/>
        </w:rPr>
      </w:r>
    </w:p>
    <w:p w:rsidR="00000000" w:rsidDel="00000000" w:rsidP="00000000" w:rsidRDefault="00000000" w:rsidRPr="00000000" w14:paraId="00000011">
      <w:pPr>
        <w:spacing w:after="0" w:before="240" w:line="24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Presentation of the Gender in Digital Coalition's </w:t>
      </w:r>
      <w:hyperlink r:id="rId8">
        <w:r w:rsidDel="00000000" w:rsidR="00000000" w:rsidRPr="00000000">
          <w:rPr>
            <w:rFonts w:ascii="Arial" w:cs="Arial" w:eastAsia="Arial" w:hAnsi="Arial"/>
            <w:color w:val="1155cc"/>
            <w:sz w:val="22"/>
            <w:szCs w:val="22"/>
            <w:u w:val="single"/>
            <w:rtl w:val="0"/>
          </w:rPr>
          <w:t xml:space="preserve">feminist guiding principles for AI governance</w:t>
        </w:r>
      </w:hyperlink>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Safety, dignity and human rights must be built into AI governance by design, not treated as an afterthought:</w:t>
      </w:r>
    </w:p>
    <w:p w:rsidR="00000000" w:rsidDel="00000000" w:rsidP="00000000" w:rsidRDefault="00000000" w:rsidRPr="00000000" w14:paraId="00000012">
      <w:pPr>
        <w:numPr>
          <w:ilvl w:val="1"/>
          <w:numId w:val="1"/>
        </w:numPr>
        <w:spacing w:after="0" w:afterAutospacing="0" w:before="240" w:line="276" w:lineRule="auto"/>
        <w:ind w:left="1440" w:hanging="360"/>
        <w:jc w:val="left"/>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Safety, dignity and interoperability by design;</w:t>
      </w:r>
    </w:p>
    <w:p w:rsidR="00000000" w:rsidDel="00000000" w:rsidP="00000000" w:rsidRDefault="00000000" w:rsidRPr="00000000" w14:paraId="00000013">
      <w:pPr>
        <w:numPr>
          <w:ilvl w:val="1"/>
          <w:numId w:val="1"/>
        </w:numPr>
        <w:spacing w:after="0" w:afterAutospacing="0" w:before="0" w:beforeAutospacing="0" w:line="276" w:lineRule="auto"/>
        <w:ind w:left="1440" w:hanging="360"/>
        <w:jc w:val="left"/>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Precaution before deployment, data sovereignty, algorithmic bias, no AI above human rights, TFGBV, inclusive and equitable ai (neocolonialism and linguistic), investment for feminist AI, feminist AI governance mechanisms;</w:t>
      </w:r>
    </w:p>
    <w:p w:rsidR="00000000" w:rsidDel="00000000" w:rsidP="00000000" w:rsidRDefault="00000000" w:rsidRPr="00000000" w14:paraId="00000014">
      <w:pPr>
        <w:numPr>
          <w:ilvl w:val="1"/>
          <w:numId w:val="1"/>
        </w:numPr>
        <w:spacing w:after="0" w:afterAutospacing="0" w:before="0" w:beforeAutospacing="0" w:line="276" w:lineRule="auto"/>
        <w:ind w:left="1440" w:hanging="360"/>
        <w:jc w:val="left"/>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With strong recommendations, such as independent mechanisms, pre- and post-human rights assessments, and public audits.</w:t>
      </w:r>
    </w:p>
    <w:p w:rsidR="00000000" w:rsidDel="00000000" w:rsidP="00000000" w:rsidRDefault="00000000" w:rsidRPr="00000000" w14:paraId="00000015">
      <w:pPr>
        <w:numPr>
          <w:ilvl w:val="0"/>
          <w:numId w:val="1"/>
        </w:numPr>
        <w:spacing w:after="240" w:before="0" w:beforeAutospacing="0" w:line="276" w:lineRule="auto"/>
        <w:ind w:left="720" w:hanging="360"/>
        <w:jc w:val="left"/>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Participants were invited to sign up for a mailing list to continue the conversation with us, where we will discuss incorporating gender into the Action Lines and AI governance mechanisms.</w:t>
      </w:r>
    </w:p>
    <w:p w:rsidR="00000000" w:rsidDel="00000000" w:rsidP="00000000" w:rsidRDefault="00000000" w:rsidRPr="00000000" w14:paraId="00000016">
      <w:pPr>
        <w:spacing w:after="240" w:before="240" w:line="276" w:lineRule="auto"/>
        <w:ind w:left="0" w:firstLine="0"/>
        <w:jc w:val="left"/>
        <w:rPr>
          <w:rFonts w:ascii="Tenorite" w:cs="Tenorite" w:eastAsia="Tenorite" w:hAnsi="Tenorite"/>
          <w:b w:val="1"/>
          <w:bCs w:val="1"/>
          <w:sz w:val="22"/>
          <w:szCs w:val="22"/>
        </w:rPr>
      </w:pPr>
      <w:r w:rsidDel="00000000" w:rsidR="00000000" w:rsidRPr="00000000">
        <w:rPr>
          <w:rtl w:val="0"/>
        </w:rPr>
      </w:r>
    </w:p>
    <w:p w:rsidR="00000000" w:rsidDel="00000000" w:rsidP="00000000" w:rsidRDefault="00000000" w:rsidRPr="00000000" w14:paraId="00000017">
      <w:pPr>
        <w:spacing w:after="240" w:before="240" w:line="276" w:lineRule="auto"/>
        <w:ind w:left="0" w:firstLine="0"/>
        <w:jc w:val="left"/>
        <w:rPr>
          <w:rFonts w:ascii="Tenorite" w:cs="Tenorite" w:eastAsia="Tenorite" w:hAnsi="Tenorite"/>
          <w:b w:val="1"/>
          <w:bCs w:val="1"/>
          <w:sz w:val="22"/>
          <w:szCs w:val="22"/>
        </w:rPr>
      </w:pPr>
      <w:r w:rsidDel="00000000" w:rsidR="00000000" w:rsidRPr="00000000">
        <w:rPr>
          <w:rFonts w:ascii="Tenorite" w:cs="Tenorite" w:eastAsia="Tenorite" w:hAnsi="Tenorite"/>
          <w:b w:val="1"/>
          <w:bCs w:val="1"/>
          <w:sz w:val="22"/>
          <w:szCs w:val="22"/>
          <w:rtl w:val="0"/>
        </w:rPr>
        <w:t xml:space="preserve">Key Recommendations and Forward-Looking Actions</w:t>
      </w:r>
    </w:p>
    <w:p w:rsidR="00000000" w:rsidDel="00000000" w:rsidP="00000000" w:rsidRDefault="00000000" w:rsidRPr="00000000" w14:paraId="00000018">
      <w:pPr>
        <w:spacing w:after="240" w:before="240" w:line="276" w:lineRule="auto"/>
        <w:ind w:left="0" w:firstLine="0"/>
        <w:jc w:val="left"/>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All indicators should adopt an intersectional approach.</w:t>
      </w:r>
      <w:r w:rsidDel="00000000" w:rsidR="00000000" w:rsidRPr="00000000">
        <w:rPr>
          <w:rFonts w:ascii="Arial" w:cs="Arial" w:eastAsia="Arial" w:hAnsi="Arial"/>
          <w:sz w:val="22"/>
          <w:szCs w:val="22"/>
          <w:rtl w:val="0"/>
        </w:rPr>
        <w:t xml:space="preserve"> Gender does not operate in isolation. Experiences of exclusion are shaped by race, ethnicity, disability, age, migration status, socioeconomic background, sexual orientation, and geographic location. If our indicators fail to reflect these intersecting realities, they will overlook those who are most affected by digital inequalities.</w:t>
      </w:r>
    </w:p>
    <w:p w:rsidR="00000000" w:rsidDel="00000000" w:rsidP="00000000" w:rsidRDefault="00000000" w:rsidRPr="00000000" w14:paraId="00000019">
      <w:pPr>
        <w:spacing w:after="240" w:before="240" w:line="240" w:lineRule="auto"/>
        <w:jc w:val="left"/>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Implementation must be supported by meaningful participation</w:t>
      </w:r>
      <w:r w:rsidDel="00000000" w:rsidR="00000000" w:rsidRPr="00000000">
        <w:rPr>
          <w:rFonts w:ascii="Arial" w:cs="Arial" w:eastAsia="Arial" w:hAnsi="Arial"/>
          <w:sz w:val="22"/>
          <w:szCs w:val="22"/>
          <w:rtl w:val="0"/>
        </w:rPr>
        <w:t xml:space="preserve">. The development, monitoring, and evaluation of these indicators should include feminist organisations, women's rights groups, LGBTQI+ organisations, Indigenous communities, persons with disabilities, and other civil society actors who bring lived experience and evidence from affected communities.</w:t>
      </w:r>
    </w:p>
    <w:p w:rsidR="00000000" w:rsidDel="00000000" w:rsidP="00000000" w:rsidRDefault="00000000" w:rsidRPr="00000000" w14:paraId="0000001A">
      <w:pPr>
        <w:spacing w:after="240" w:before="240" w:line="240" w:lineRule="auto"/>
        <w:jc w:val="left"/>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Build a joint implementation roadmap across global processes. </w:t>
      </w:r>
      <w:r w:rsidDel="00000000" w:rsidR="00000000" w:rsidRPr="00000000">
        <w:rPr>
          <w:rFonts w:ascii="Arial" w:cs="Arial" w:eastAsia="Arial" w:hAnsi="Arial"/>
          <w:sz w:val="22"/>
          <w:szCs w:val="22"/>
          <w:rtl w:val="0"/>
        </w:rPr>
        <w:t xml:space="preserve">Rather than treating the WSIS review, the Global Digital Compact, and the Global Dialogue on AI Governance as separate tracks, we should identify where commitments overlap and develop common implementation priorities, shared indicators where appropriate, and coordinated reporting mechanisms. This would reduce fragmentation and ease the reporting and monitoring burdens on governments and stakeholders, thereby increasing the incentive to implement. A shared roadmap would also help ensure that gender equality remains visible across future digital governance discussions, rather than being revisited from scratch in each new process. It would ensure policy coherence and provide a stronger basis for measuring collective progress over time.</w:t>
      </w:r>
    </w:p>
    <w:p w:rsidR="00000000" w:rsidDel="00000000" w:rsidP="00000000" w:rsidRDefault="00000000" w:rsidRPr="00000000" w14:paraId="0000001B">
      <w:pPr>
        <w:spacing w:after="240" w:before="240" w:line="240" w:lineRule="auto"/>
        <w:jc w:val="left"/>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Under Action Line C1</w:t>
      </w:r>
      <w:r w:rsidDel="00000000" w:rsidR="00000000" w:rsidRPr="00000000">
        <w:rPr>
          <w:rFonts w:ascii="Arial" w:cs="Arial" w:eastAsia="Arial" w:hAnsi="Arial"/>
          <w:sz w:val="22"/>
          <w:szCs w:val="22"/>
          <w:rtl w:val="0"/>
        </w:rPr>
        <w:t xml:space="preserve">: Role of public governance authorities, we could measure the % of women in decision-making (not advisory) roles in national digital/AI governance authorities and regulators. For Action Lines C1 and C6, there is already data being collected here by action line facilitators, which can be used for effective monitoring and measurement.</w:t>
      </w:r>
    </w:p>
    <w:p w:rsidR="00000000" w:rsidDel="00000000" w:rsidP="00000000" w:rsidRDefault="00000000" w:rsidRPr="00000000" w14:paraId="0000001C">
      <w:pPr>
        <w:spacing w:after="240" w:before="240" w:line="240" w:lineRule="auto"/>
        <w:jc w:val="left"/>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Under Action Line C3 Access to information &amp; knowledge, </w:t>
      </w:r>
      <w:r w:rsidDel="00000000" w:rsidR="00000000" w:rsidRPr="00000000">
        <w:rPr>
          <w:rFonts w:ascii="Arial" w:cs="Arial" w:eastAsia="Arial" w:hAnsi="Arial"/>
          <w:sz w:val="22"/>
          <w:szCs w:val="22"/>
          <w:rtl w:val="0"/>
        </w:rPr>
        <w:t xml:space="preserve">we can, for instance, measure the gender gap between who produces digital content and knowledge and who consumes it, and not only, as we currently do, who has skills and access to ICT. This would help us determine if women and gender-diverse communities are meaningfully participating in technology governance.</w:t>
      </w:r>
    </w:p>
    <w:p w:rsidR="00000000" w:rsidDel="00000000" w:rsidP="00000000" w:rsidRDefault="00000000" w:rsidRPr="00000000" w14:paraId="0000001D">
      <w:pPr>
        <w:spacing w:after="240" w:before="240" w:line="240" w:lineRule="auto"/>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Or </w:t>
      </w:r>
      <w:r w:rsidDel="00000000" w:rsidR="00000000" w:rsidRPr="00000000">
        <w:rPr>
          <w:rFonts w:ascii="Arial" w:cs="Arial" w:eastAsia="Arial" w:hAnsi="Arial"/>
          <w:b w:val="1"/>
          <w:bCs w:val="1"/>
          <w:sz w:val="22"/>
          <w:szCs w:val="22"/>
          <w:rtl w:val="0"/>
        </w:rPr>
        <w:t xml:space="preserve">C5 Building confidence &amp; security</w:t>
      </w:r>
      <w:r w:rsidDel="00000000" w:rsidR="00000000" w:rsidRPr="00000000">
        <w:rPr>
          <w:rFonts w:ascii="Arial" w:cs="Arial" w:eastAsia="Arial" w:hAnsi="Arial"/>
          <w:sz w:val="22"/>
          <w:szCs w:val="22"/>
          <w:rtl w:val="0"/>
        </w:rPr>
        <w:t xml:space="preserve"> - are national cybersecurity frameworks including gender-responsive threat modelling, and whether national CERTs disaggregate incident reporting by sex (i.e. whether the safety infrastructure can see gendered harm at all). So we can evaluate if states are implementing safeguards against TFGBV.</w:t>
      </w:r>
    </w:p>
    <w:p w:rsidR="00000000" w:rsidDel="00000000" w:rsidP="00000000" w:rsidRDefault="00000000" w:rsidRPr="00000000" w14:paraId="0000001E">
      <w:pPr>
        <w:spacing w:after="240" w:before="240" w:line="240" w:lineRule="auto"/>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Similarly, for </w:t>
      </w:r>
      <w:r w:rsidDel="00000000" w:rsidR="00000000" w:rsidRPr="00000000">
        <w:rPr>
          <w:rFonts w:ascii="Arial" w:cs="Arial" w:eastAsia="Arial" w:hAnsi="Arial"/>
          <w:b w:val="1"/>
          <w:bCs w:val="1"/>
          <w:sz w:val="22"/>
          <w:szCs w:val="22"/>
          <w:rtl w:val="0"/>
        </w:rPr>
        <w:t xml:space="preserve">C10 Ethical dimensions,</w:t>
      </w:r>
      <w:r w:rsidDel="00000000" w:rsidR="00000000" w:rsidRPr="00000000">
        <w:rPr>
          <w:rFonts w:ascii="Arial" w:cs="Arial" w:eastAsia="Arial" w:hAnsi="Arial"/>
          <w:sz w:val="22"/>
          <w:szCs w:val="22"/>
          <w:rtl w:val="0"/>
        </w:rPr>
        <w:t xml:space="preserve"> we could measure the % of AI systems deployed in public services that have undergone an integrated human rights, gender, environmental, and labour impact assessment before deployment (where gender is a required, separately reported dimension). This will help us understand if AI systems are being assessed for discriminatory impacts against women and other marginalised groups.</w:t>
      </w:r>
    </w:p>
    <w:p w:rsidR="00000000" w:rsidDel="00000000" w:rsidP="00000000" w:rsidRDefault="00000000" w:rsidRPr="00000000" w14:paraId="0000001F">
      <w:pPr>
        <w:spacing w:after="240" w:before="240" w:line="240" w:lineRule="auto"/>
        <w:jc w:val="left"/>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As for </w:t>
      </w:r>
      <w:r w:rsidDel="00000000" w:rsidR="00000000" w:rsidRPr="00000000">
        <w:rPr>
          <w:rFonts w:ascii="Arial" w:cs="Arial" w:eastAsia="Arial" w:hAnsi="Arial"/>
          <w:b w:val="1"/>
          <w:bCs w:val="1"/>
          <w:sz w:val="22"/>
          <w:szCs w:val="22"/>
          <w:rtl w:val="0"/>
        </w:rPr>
        <w:t xml:space="preserve">strengthening the data architecture for gender monitoring in AI:</w:t>
      </w:r>
    </w:p>
    <w:p w:rsidR="00000000" w:rsidDel="00000000" w:rsidP="00000000" w:rsidRDefault="00000000" w:rsidRPr="00000000" w14:paraId="00000020">
      <w:pPr>
        <w:spacing w:after="0" w:before="0" w:line="276" w:lineRule="auto"/>
        <w:jc w:val="left"/>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1. Data should guide where investments go: </w:t>
      </w:r>
      <w:r w:rsidDel="00000000" w:rsidR="00000000" w:rsidRPr="00000000">
        <w:rPr>
          <w:rFonts w:ascii="Arial" w:cs="Arial" w:eastAsia="Arial" w:hAnsi="Arial"/>
          <w:sz w:val="22"/>
          <w:szCs w:val="22"/>
          <w:rtl w:val="0"/>
        </w:rPr>
        <w:t xml:space="preserve">The global annual value of AI venture capital (VC) has risen dramatically. Some investors, particularly early-stage investors, are often in a position to exert leverage, as they support investees in shaping and defining a project’s outlook. How can we make gender a non-negotiable?</w:t>
      </w:r>
      <w:r w:rsidDel="00000000" w:rsidR="00000000" w:rsidRPr="00000000">
        <w:rPr>
          <w:rtl w:val="0"/>
        </w:rPr>
      </w:r>
    </w:p>
    <w:p w:rsidR="00000000" w:rsidDel="00000000" w:rsidP="00000000" w:rsidRDefault="00000000" w:rsidRPr="00000000" w14:paraId="00000021">
      <w:pPr>
        <w:spacing w:after="0" w:before="0" w:line="276" w:lineRule="auto"/>
        <w:jc w:val="left"/>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2. Develop incidence reporting mechanisms with robust taxonomies of gendered harms in the AI value chain: </w:t>
      </w:r>
      <w:r w:rsidDel="00000000" w:rsidR="00000000" w:rsidRPr="00000000">
        <w:rPr>
          <w:rFonts w:ascii="Arial" w:cs="Arial" w:eastAsia="Arial" w:hAnsi="Arial"/>
          <w:sz w:val="22"/>
          <w:szCs w:val="22"/>
          <w:rtl w:val="0"/>
        </w:rPr>
        <w:t xml:space="preserve">As UNESCO’s Outlook study on AI and gender has highlighted, it is important to track gender harms in the AI lifecycle: Economic, socio-cultural, political and harms to physical safety.</w:t>
      </w:r>
      <w:r w:rsidDel="00000000" w:rsidR="00000000" w:rsidRPr="00000000">
        <w:rPr>
          <w:rtl w:val="0"/>
        </w:rPr>
      </w:r>
    </w:p>
    <w:p w:rsidR="00000000" w:rsidDel="00000000" w:rsidP="00000000" w:rsidRDefault="00000000" w:rsidRPr="00000000" w14:paraId="00000022">
      <w:pPr>
        <w:spacing w:after="0" w:before="0" w:line="276" w:lineRule="auto"/>
        <w:jc w:val="left"/>
        <w:rPr/>
      </w:pPr>
      <w:r w:rsidDel="00000000" w:rsidR="00000000" w:rsidRPr="00000000">
        <w:rPr>
          <w:rFonts w:ascii="Arial" w:cs="Arial" w:eastAsia="Arial" w:hAnsi="Arial"/>
          <w:b w:val="1"/>
          <w:bCs w:val="1"/>
          <w:sz w:val="22"/>
          <w:szCs w:val="22"/>
          <w:rtl w:val="0"/>
        </w:rPr>
        <w:t xml:space="preserve">3. National strategy – gender equality is an integral component of responsible AI. </w:t>
      </w:r>
      <w:r w:rsidDel="00000000" w:rsidR="00000000" w:rsidRPr="00000000">
        <w:rPr>
          <w:rFonts w:ascii="Arial" w:cs="Arial" w:eastAsia="Arial" w:hAnsi="Arial"/>
          <w:sz w:val="22"/>
          <w:szCs w:val="22"/>
          <w:rtl w:val="0"/>
        </w:rPr>
        <w:t xml:space="preserve">The first edition of the Global Index on Responsible AI in 2024 found that only 24 of the countries assessed had government frameworks addressing the intersection of gender.</w:t>
      </w:r>
      <w:r w:rsidDel="00000000" w:rsidR="00000000" w:rsidRPr="00000000">
        <w:rPr>
          <w:rtl w:val="0"/>
        </w:rPr>
      </w:r>
    </w:p>
    <w:sectPr>
      <w:headerReference r:id="rId9" w:type="default"/>
      <w:footerReference r:id="rId10" w:type="default"/>
      <w:footerReference r:id="rId11" w:type="even"/>
      <w:pgSz w:h="16838" w:w="11906" w:orient="portrait"/>
      <w:pgMar w:bottom="720" w:top="720" w:left="720" w:right="72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Courier New"/>
  <w:font w:name="Tenorite"/>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36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36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Guidelines for Session Organisers – WSIS Forum 2026</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2"/>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en"/>
      </w:rPr>
    </w:rPrDefault>
    <w:pPrDefault>
      <w:pPr>
        <w:spacing w:after="120" w:line="276"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itu.int/net4/wsis/forum/2026/Agenda/Session/271" TargetMode="External"/><Relationship Id="rId8" Type="http://schemas.openxmlformats.org/officeDocument/2006/relationships/hyperlink" Target="https://lnkd.in/dFcFKcH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